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25.png" ContentType="image/png"/>
  <Override PartName="/word/media/rId32.png" ContentType="image/png"/>
  <Override PartName="/word/media/rId30.png" ContentType="image/png"/>
  <Override PartName="/word/media/rId27.png" ContentType="image/png"/>
  <Override PartName="/word/media/rId33.png" ContentType="image/png"/>
  <Override PartName="/word/media/rId31.png" ContentType="image/png"/>
  <Override PartName="/word/media/rId23.png" ContentType="image/png"/>
  <Override PartName="/word/media/rId22.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Throughout East Asia direct colonial rule was rare and limited, but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(Torrence and Clarke, 2000; Trabert, 2017)</w:t>
      </w:r>
      <w:r>
        <w:t xml:space="preserve">. In many parts of the world, the introduction of foreign trade goods by colonial traders into local indigenous societies caused significant transformations of indigenous economic, cultural, and socio-political systems</w:t>
      </w:r>
      <w:r>
        <w:t xml:space="preserve"> </w:t>
      </w:r>
      <w:r>
        <w:t xml:space="preserve">(Dietler, 1997; Junker, 1993; Mitchell, 2000; Silliman, 2005)</w:t>
      </w:r>
      <w:r>
        <w:t xml:space="preserve">. The agency of indigenous peoples in the colonial contexts has been broadly discussed to understand the negotiations between colonized and colonizer, and the resistance and accommodations of indigenous people through their daily cultural practices</w:t>
      </w:r>
      <w:r>
        <w:t xml:space="preserve"> </w:t>
      </w:r>
      <w:r>
        <w:t xml:space="preserve">(Dietler, 2015; Given, 2004; Rubertone, 2000; Silliman, 2001; Torrence, 2000; Torrence and Clarke, 2000; Voss, 2005)</w:t>
      </w:r>
      <w:r>
        <w:t xml:space="preserve">. Studying the consumption of foreign goods is one way to understand indigenous experiences of colonial encounters and explore the agency of indigenous peoples by examining how goods were distributed and used</w:t>
      </w:r>
      <w:r>
        <w:t xml:space="preserve"> </w:t>
      </w:r>
      <w:r>
        <w:t xml:space="preserve">(Dietler, 2005; Mullins, 2011; Scaramelli and Scaramelli, 2005)</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study both archaeological and historical records of Heping Dao in northern Taiwan that was the location of the colony of San Salvador founded by the Spanish in 1626 and took over by the Dutch in 1642. They uncovered parts of the foundation of a Spanish church and a European cemetery that indicate the evidence of European occupation. It shows a direct impact on the local indigenous populations by disturbing their long settlement pattern and changing local landscape. Different from the view of a Spanish fort, Yilan in Northeastern Taiwan is an especially unique location for exploring indirect colonial effects on local indigenous settlements due to its physically isolated location.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The sea provides a way through which indigenous people in Yilan could interact with other groups from different regions, including other native indigenous groups, foreign traders such as the Han people of China, and Europeans. Large-scale and frequent trade activities brought a wide variety of trade objects into indigenous communities in Yilan through local regional exchange network. One of the most common types of trade goods in this region were personal ornaments such as glass and stone beads was one of the common foreign goods found at the settlement sites in this region</w:t>
      </w:r>
      <w:r>
        <w:t xml:space="preserve"> </w:t>
      </w:r>
      <w:r>
        <w:t xml:space="preserve">(Chen, 2007; Li and Chiu, 2014; National Musuem of Taiwan History, 2005)</w:t>
      </w:r>
      <w:r>
        <w:t xml:space="preserve">. Personal adornments are a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the evidence from Yilan spanning from late Iron Age to historical period to address the question of whether indirect colonial influences on indigenous populations can be detected. I focus on the ornaments recovered from the archaeological excavations at Kiwulan (1400-1900 AD), a large Iron Age settlement in northeastern Taiwan</w:t>
      </w:r>
      <w:r>
        <w:t xml:space="preserve"> </w:t>
      </w:r>
      <w:r>
        <w:t xml:space="preserve">(Chen, 2007)</w:t>
      </w:r>
      <w:r>
        <w:t xml:space="preserve">. Prior to the contact with the Europeans in the early 17th century, Taiwan had been involved in both regional and long-distance East and Southeast Asian trade systems since tenth century, and encountered large waves of Han Chinese immigration after 17th century since Taiwan was incorporated into the territories of Qing Dynasty of China</w:t>
      </w:r>
      <w:r>
        <w:t xml:space="preserve"> </w:t>
      </w:r>
      <w:r>
        <w:t xml:space="preserve">(Andrade, 2007, ch. 11; Liu and Wang, 2017)</w:t>
      </w:r>
      <w:r>
        <w:t xml:space="preserve">. Northeastern Taiwan provides a good example to explore the indirect colonial impacts on indigenous societies by comparing archaeological evidence from different episodes of culture contact [cf.@Lape2003]. I will describe the variety and cultural context of trade ornaments in this region, and examine their potential of the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spatial patterns in the distributions of ornaments at Kiwulan that indicates increasing social inequality. I hypothesize that after Chinese contact there was a decline in the use and discard of ornaments at Kiwulan due to overall population declines and acculturation in the Chinese community.</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Northeastern Taiwan was part of the local exchange network in northern Taiwan, where the indigenous people had already established their own exchange network before European arrived that has been described as</w:t>
      </w:r>
      <w:r>
        <w:t xml:space="preserve"> </w:t>
      </w:r>
      <w:r>
        <w:t xml:space="preserve">“</w:t>
      </w:r>
      <w:r>
        <w:t xml:space="preserve">inter-insular trade</w:t>
      </w:r>
      <w:r>
        <w:t xml:space="preserve">”</w:t>
      </w:r>
      <w:r>
        <w:t xml:space="preserve"> </w:t>
      </w:r>
      <w:r>
        <w:t xml:space="preserve">by Chen</w:t>
      </w:r>
      <w:r>
        <w:t xml:space="preserve"> </w:t>
      </w:r>
      <w:r>
        <w:t xml:space="preserve">Chen (2005, p. 12)</w:t>
      </w:r>
      <w:r>
        <w:t xml:space="preserve"> </w:t>
      </w:r>
      <w:r>
        <w:t xml:space="preserve">to refer to small-scale regional trade between China and Taiwan on an irregular basis. The exchange network in northern Taiwan was increasingly influenced by long-distance trade between Fuzhou or Quanzhou in China and Ryukyu in Japan since the 15th century due to its location on the shipping routes</w:t>
      </w:r>
      <w:r>
        <w:t xml:space="preserve"> </w:t>
      </w:r>
      <w:r>
        <w:t xml:space="preserve">(Chen, 2005)</w:t>
      </w:r>
      <w:r>
        <w:t xml:space="preserve">. This was intensified in the 17th century with the arrival of the Europeans and their trade goods</w:t>
      </w:r>
      <w:r>
        <w:t xml:space="preserve"> </w:t>
      </w:r>
      <w:r>
        <w:t xml:space="preserve">(Wang and Liu, 2007)</w:t>
      </w:r>
      <w:r>
        <w:t xml:space="preserve">. Due to its location on the periphery of major trade ports, Keelung and Tamsui, in northern Taiwan, Yilan was involved in this network through the periodic exchange activities between different indigenous groups.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Rivers and seas provide the way for the interaction between local indigenous settlements and further afield communities, such as the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a religious purpose</w:t>
      </w:r>
      <w:r>
        <w:t xml:space="preserve"> </w:t>
      </w:r>
      <w:r>
        <w:t xml:space="preserve">(Blussé and Everts, 2000, p. 343)</w:t>
      </w:r>
      <w:r>
        <w:t xml:space="preserve">. The report of the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(Borao, 2009, pp. 122–151)</w:t>
      </w:r>
      <w:r>
        <w:t xml:space="preserve">. An indigenous funeral process was recorded, documenting the use of agate beads in ritual contexts, with more agate beads, pottery, and cloths placed into the graves of more influential people to indicate a family’s higher prestige</w:t>
      </w:r>
      <w:r>
        <w:t xml:space="preserve"> </w:t>
      </w:r>
      <w:r>
        <w:t xml:space="preserve">(Li and Wu, 2006, p. 153)</w:t>
      </w:r>
      <w:r>
        <w:t xml:space="preserve">. Those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the year of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had the custom to wear ornaments in ceremonial contexts to display their wealth and status. Among those ornaments, golden fish-shaped necklaces made of copper threads had higher value due to its delicacy and more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It was usually the female shamans conducting divination rituals that passed the beads down from their ancestors. Despite most Kavalan people today not knowing the specific origin of their agate beads, the value of beads is still highlighted through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r>
        <w:br w:type="textWrapping"/>
      </w:r>
      <w:r>
        <w:t xml:space="preserve"># Excavations at Kiwulan in northeastern Taiwan</w:t>
      </w:r>
    </w:p>
    <w:p>
      <w:pPr>
        <w:pStyle w:val="CaptionedFigure"/>
      </w:pPr>
      <w:r>
        <w:drawing>
          <wp:inline>
            <wp:extent cx="5943600" cy="2744882"/>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2"/>
                    <a:stretch>
                      <a:fillRect/>
                    </a:stretch>
                  </pic:blipFill>
                  <pic:spPr bwMode="auto">
                    <a:xfrm>
                      <a:off x="0" y="0"/>
                      <a:ext cx="5943600" cy="274488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2311045"/>
            <wp:effectExtent b="0" l="0" r="0" t="0"/>
            <wp:docPr descr="Figure 2: Map showing the largest section of excavation areas at Kiwulan, and the distribution of forty squares sampled in this paper presented in red with square ID number.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3"/>
                    <a:stretch>
                      <a:fillRect/>
                    </a:stretch>
                  </pic:blipFill>
                  <pic:spPr bwMode="auto">
                    <a:xfrm>
                      <a:off x="0" y="0"/>
                      <a:ext cx="5943600" cy="2311045"/>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w:t>
      </w:r>
      <w:r>
        <w:t xml:space="preserve"> </w:t>
      </w:r>
      <w:r>
        <w:t xml:space="preserve">1</w:t>
      </w:r>
      <w:r>
        <w:t xml:space="preserve"> </w:t>
      </w:r>
      <w:r>
        <w:t xml:space="preserve">is located at northern Yilan and was a rescue archaeology project that carried out from 2001 to 2004 in advance of water diversion project and construction of a road bridge. The total area includes eight open area sections of 262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a hundred year intervals according to original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 take approximate indicators of the start of European contact at Kiwulan as the appearance of An-ping jars and stonewares (martavans/martaban) that were largely introduced to Taiwan during the early 17th century. They are frequently found in European shipwrecks from this period for transporting water, wine or other fluids on the long voyages, and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 European colonization ended in 1662 when they were defeated by the kingdom of Tungning founded by Koxinga from China. Later in 1683, the Qing dynasty ruled over Taiwan and a large wave of Han Chinese migrated to Yilan during the late 18th century. I recognize this as the Chinese contact period, which is archaeologically visible at Kiwulan by a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can be seen from the Chinese official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4754880"/>
            <wp:effectExtent b="0" l="0" r="0" t="0"/>
            <wp:docPr descr="Figure 3: Frequency of the major class of ornaments at Kiwulan from sampling area"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the major class of ornaments at Kiwulan from sampling area</w:t>
      </w:r>
    </w:p>
    <w:p>
      <w:pPr>
        <w:pStyle w:val="TableCaption"/>
      </w:pPr>
      <w:r>
        <w:t xml:space="preserve">Table 1: A table of ornament subtypes</w:t>
      </w:r>
    </w:p>
    <w:tbl>
      <w:tblPr>
        <w:tblStyle w:val="Table"/>
        <w:tblW w:type="pct" w:w="0.0"/>
        <w:tblLook w:firstRow="1"/>
        <w:tblCaption w:val="Table 1: A table of ornament subtype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 3173 pieces from burials, and 27 pieces from middens. Burials unearthed a large amount of ornaments because most beads were preserved well in the form of bead strings that consist of hundreds to thousand pieces. In this paper I focus on the post hole area where 406 ornaments were recovered, which accounts for 46.5 % of the total number from the same context in the Upper Layer Culture at Kiwulan. Post hole area represents Kiwulan domestic space that provides clear contexts and basis for comparison to see if there is any spatial pattern of distribution. Figure</w:t>
      </w:r>
      <w:r>
        <w:t xml:space="preserve"> </w:t>
      </w:r>
      <w:r>
        <w:t xml:space="preserve">3</w:t>
      </w:r>
      <w:r>
        <w:t xml:space="preserve"> </w:t>
      </w:r>
      <w:r>
        <w:t xml:space="preserve">shows that the most common ornament is golden bead with the number of 143, followed by 121 glass beads, 46 agate beads, 35 metal rings, and 22 metal bells. The variety of subtype and their individual frequency are summarized in Table</w:t>
      </w:r>
      <w:r>
        <w:t xml:space="preserve"> </w:t>
      </w:r>
      <w:r>
        <w:t xml:space="preserve">1</w:t>
      </w:r>
      <w:r>
        <w:t xml:space="preserve"> </w:t>
      </w:r>
      <w:r>
        <w:t xml:space="preserve">in terms of three time episodes. The image for each subtype in each major class is shown in Figure</w:t>
      </w:r>
      <w:r>
        <w:t xml:space="preserve"> </w:t>
      </w:r>
      <w:r>
        <w:t xml:space="preserve">4</w:t>
      </w:r>
      <w:r>
        <w:t xml:space="preserve">.</w:t>
      </w:r>
    </w:p>
    <w:p>
      <w:pPr>
        <w:pStyle w:val="BodyText"/>
      </w:pPr>
      <w:r>
        <w:t xml:space="preserve">Ornaments were found in 30 burials from the sampling area as grave goods. Their positions in burials in association with particular parts of human remains indicate the purpose of body adornment. For example, agate beads, golden beads, and small metal rings were often found near skulls that indicate the use as necklaces or earrings, while big metal rings were found wearing on radius and ulna bones as bangles. This pattern corresponds to the texts regarding the body decorations of indigenous culture from Chinese historical documents</w:t>
      </w:r>
      <w:r>
        <w:t xml:space="preserve"> </w:t>
      </w:r>
      <w:r>
        <w:t xml:space="preserve">(Chen, 1963; Ke, 1993)</w:t>
      </w:r>
      <w:r>
        <w:t xml:space="preserve">. Agate beads were mostly found in female burials with an average of 4 to 5 pieces, while golden beads were found in both genders with an average of 2 to 3 pieces.</w:t>
      </w:r>
    </w:p>
    <w:p>
      <w:pPr>
        <w:pStyle w:val="CaptionedFigure"/>
      </w:pPr>
      <w:r>
        <w:drawing>
          <wp:inline>
            <wp:extent cx="5943600" cy="4754880"/>
            <wp:effectExtent b="0" l="0" r="0" t="0"/>
            <wp:docPr descr="Figure 5: Frequency of the major ornament across different time periods."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FirstParagraph"/>
      </w:pPr>
      <w:r>
        <w:t xml:space="preserve">In this section I report the tests of the three hypotheses about indirect impacts of European colonization on the indigenous community at Kiwulan.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2"/>
      </w:pPr>
      <w:bookmarkStart w:id="29" w:name="frequency-of-ornaments-between-time-periods"/>
      <w:r>
        <w:t xml:space="preserve">Frequency of ornaments between time periods</w:t>
      </w:r>
      <w:bookmarkEnd w:id="29"/>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(X-squared = 71.82, df = 8, p-value = 2.136325</w:t>
      </w:r>
      <w:r>
        <w:t xml:space="preserve">10^{-12}) shows that there is a significant difference between time period groups. It indicates a general pattern that most ornament types were present before European contact.The frequencies reached a peak during the European contact and then dropped during the Chinese contact period, especially for golden beads. This trend can be also seen on other ornaments including agate bead, metal ring, and bell. However, glass beads show a different pattern that indicates a higher frequency in the pre-European contact, and then their frequency decreased in the European contact period and was even much less in the Chinese contact period.</w:t>
      </w:r>
    </w:p>
    <w:p>
      <w:pPr>
        <w:pStyle w:val="CaptionedFigure"/>
      </w:pPr>
      <w:r>
        <w:drawing>
          <wp:inline>
            <wp:extent cx="5943600" cy="4754880"/>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drawing>
          <wp:inline>
            <wp:extent cx="5943600" cy="4754880"/>
            <wp:effectExtent b="0" l="0" r="0" t="0"/>
            <wp:docPr descr="" title="" id="1" name="Picture"/>
            <a:graphic>
              <a:graphicData uri="http://schemas.openxmlformats.org/drawingml/2006/picture">
                <pic:pic>
                  <pic:nvPicPr>
                    <pic:cNvPr descr="../figures/regression-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w:t>
      </w:r>
      <w:r>
        <w:t xml:space="preserve"> </w:t>
      </w:r>
      <w:r>
        <w:rPr>
          <w:rStyle w:val="VerbatimChar"/>
        </w:rPr>
        <w:t xml:space="preserve">spearman_result_rho</w:t>
      </w:r>
      <w:r>
        <w:t xml:space="preserve">, p-value = 0.2). This indicates that the increases in diversity can be explained by the effects of culture contact instead of natural effects of sample size. According to the frequency, agate beads and metal rings have greater quantity and variety of shapes compared to copper bell and glass beads during the European contact period. Agate beads can be divided into seven subtypes, in which hexagonal shape is the most common subtype that appeared before European contact and increased significantly during the European contact and then declined in the Chinese contact. The small oval type shows a similar frequency before and during European contact but is not found in the Chinese contact period. Waxy oval beads were only found during European contact period. A higher variety of agate beads were found in European contact compared to other time periods. Similarly, metal rings can be classified into eight subtypes, in which wide small ring is the most common metal ornaments, followed by wide large and thin large shape. The greater varieties for those two classes might indicate multiple origins due to global trade networks stimulated by the Europeans. In contrast, copper bell and glass bead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spatial-distribution-of-ornament-types"/>
      <w:r>
        <w:t xml:space="preserve">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research area for each time period. Before the European contact, the map shows a greater amount of ornaments found at the northern and middle parts of the research area, and they were more widespread during the European contact period. During the European contact period, ornaments were more ubiquitous with some clusters on the northern part, and less abundance during the Chinese contact period. Figure</w:t>
      </w:r>
      <w:r>
        <w:t xml:space="preserve"> </w:t>
      </w:r>
      <w:r>
        <w:t xml:space="preserve">8</w:t>
      </w:r>
      <w:r>
        <w:t xml:space="preserve"> </w:t>
      </w:r>
      <w:r>
        <w:t xml:space="preserve">presents the distribution for the major classes individually, some clusters across the area can be observed during the European contact, such as golden beads and agate beads. However, there seems to be no clear consistent clustered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 that they were only found in a few squares, for example, golden beads and glass beads were only found in a few squares in the middle part.</w:t>
      </w:r>
    </w:p>
    <w:p>
      <w:pPr>
        <w:pStyle w:val="CaptionedFigure"/>
      </w:pPr>
      <w:r>
        <w:drawing>
          <wp:inline>
            <wp:extent cx="5943600" cy="4754880"/>
            <wp:effectExtent b="0" l="0" r="0" t="0"/>
            <wp:docPr descr="Figure 9: Kernal density map for ornaments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the presence of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In this case hotspots in the pattern of ornaments could indicate the changes in social organization due to culture contact. I used the intensity approach that focuses on the average density of points across space to explore their distribution. Ornament location points were given random coordinates within each square they were recovered from because their exact recovery location in each square was not recorded during excavation. The next step was to subset the ornaments into three groups for three time periods, and then compute the kernel density for each time period for comparison.</w:t>
      </w:r>
    </w:p>
    <w:p>
      <w:pPr>
        <w:pStyle w:val="BodyText"/>
      </w:pPr>
      <w:r>
        <w:t xml:space="preserve">Kernel density estimations (KDE) estimate the probability of the density of events across space by creating a continuous, smooth density surface across space. Here we use KDE to visualize the event of the presence of ornaments that were represented by maps on which we are able to see core areas and surrounding neighborhoods</w:t>
      </w:r>
      <w:r>
        <w:t xml:space="preserve"> </w:t>
      </w:r>
      <w:r>
        <w:t xml:space="preserve">(Bonnier et al., 2019; Cortegoso et al., 2016)</w:t>
      </w:r>
      <w:r>
        <w:t xml:space="preserve">. Density values of artifacts per square meter are assigned to each cell. The results in Figure</w:t>
      </w:r>
      <w:r>
        <w:t xml:space="preserve"> </w:t>
      </w:r>
      <w:r>
        <w:t xml:space="preserve">9</w:t>
      </w:r>
      <w:r>
        <w:t xml:space="preserve"> </w:t>
      </w:r>
      <w:r>
        <w:t xml:space="preserve">show that there is one major core area during the pre-European contact period, multiple core areas during European contact period, and a single core during the Chinese contact period.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randomly distributed to understand the underlying social processes related to ornament distributions.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ibution-1.png" id="0" name="Picture"/>
                    <pic:cNvPicPr>
                      <a:picLocks noChangeArrowheads="1" noChangeAspect="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Here we use a Monte Carlo method to test the spatial randomness of spatial events based on the average nearest-neighbor distance method (ANN). Our null hypothesis is that the distribution of ornaments is consistent with a completely random process, so we then simulate the locations of ornaments across the space 1000 times for each time period. The observed data was compared to the random pattern generated by simulated processes to see if our data is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more greater than our observed ANN value during the European contact period, which means the ornaments have a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indicate some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Among those ornaments, agate beads and metal rings have greater quantity and variety of shapes compared to copper bells and glass beads, which might indicate their diverse origins. However, the frequency of overall ornaments and each subtype declines significantly during the Chinese contact period. The reason could be related to a smaller scale of network, the overall decline of the indigenous population in Yilan, and adopting the mortuary practices of Han Chinese. Since the end of the 18th century, lots of indigenous people moved southwards to Hualien due to population pressure caused by the great amount of Han Chinese immigrants</w:t>
      </w:r>
      <w:r>
        <w:t xml:space="preserve"> </w:t>
      </w:r>
      <w:r>
        <w:t xml:space="preserve">(Chen, 2007)</w:t>
      </w:r>
      <w:r>
        <w:t xml:space="preserve">. According to the Chinese census reports in 1821 and Japanese field survey in 1895, the Kiwulan population was less than 100 that dropped by nearly 90 percent compared with the last census in the 17th century</w:t>
      </w:r>
      <w:r>
        <w:t xml:space="preserve"> </w:t>
      </w:r>
      <w:r>
        <w:t xml:space="preserve">(Ino, 1898; Yao, 1996)</w:t>
      </w:r>
      <w:r>
        <w:t xml:space="preserve">. In addition, burials after 18th century unearthed fewer ornaments or even lack of them that might indicate a change in mortuary practices. This can be also identified by the presence of coffin-like case that was viewed as a funerary item of Han Chinese, however, with local indigenous carving patterns on the wooden surfaces</w:t>
      </w:r>
      <w:r>
        <w:t xml:space="preserve"> </w:t>
      </w:r>
      <w:r>
        <w:t xml:space="preserve">(Chen, 2007; Chiu, 2004)</w:t>
      </w:r>
      <w:r>
        <w:t xml:space="preserve">.</w:t>
      </w:r>
    </w:p>
    <w:p>
      <w:pPr>
        <w:pStyle w:val="BodyText"/>
      </w:pPr>
      <w:r>
        <w:t xml:space="preserve">The spatial pattern of ornaments shows that their distribution was clustered since the pre-European and European contact period. Hypothesis testing for spatial patterns further indicates that these clusters are non-random, and are concentrated during European contact. Because trade ornaments were prestige goods in prehistoric Northeastern Taiwan, this spatial clustering could indicate that a degree of social inequality was present before European contact and then it was reinforced and amplified during the European contact period. In addition, there was a burial dated to 17th century unearthed 60 golden beads above the average of 2-3 pieces that hints the possibility of increasing social inequality</w:t>
      </w:r>
      <w:r>
        <w:t xml:space="preserve"> </w:t>
      </w:r>
      <w:r>
        <w:t xml:space="preserve">(Chen, 2007; Cheng, 2008)</w:t>
      </w:r>
      <w:r>
        <w:t xml:space="preserve">. In Taiwan, most prehistoric organization were thought as egalitarian societies because of the lack of centralization of power that is often used as a major indicator of hierarchical complexity. However, this concept of egalitarianism has been challenged by evidence of social inequalities such as uneven distributions of prestige goods or the emergence of influential individuals in some non- hierarchical human societies</w:t>
      </w:r>
      <w:r>
        <w:t xml:space="preserve"> </w:t>
      </w:r>
      <w:r>
        <w:t xml:space="preserve">(Ames, 2010; Bowles et al., 2010; Woodburn, 1982)</w:t>
      </w:r>
      <w:r>
        <w:t xml:space="preserve">.</w:t>
      </w:r>
    </w:p>
    <w:p>
      <w:pPr>
        <w:pStyle w:val="BodyText"/>
      </w:pPr>
      <w:r>
        <w:t xml:space="preserve">Horizontal complexity is another approach to discuss the emergence of social inequity by focusing on how people achieve and maintain power in a wide variety of societies</w:t>
      </w:r>
      <w:r>
        <w:t xml:space="preserve"> </w:t>
      </w:r>
      <w:r>
        <w:t xml:space="preserve">(Drennan et al., 2010; Feinman, 2000)</w:t>
      </w:r>
      <w:r>
        <w:t xml:space="preserve">. For example, the corporate/network model proposed by</w:t>
      </w:r>
      <w:r>
        <w:t xml:space="preserve"> </w:t>
      </w:r>
      <w:r>
        <w:t xml:space="preserve">Feinman (2000)</w:t>
      </w:r>
      <w:r>
        <w:t xml:space="preserve"> </w:t>
      </w:r>
      <w:r>
        <w:t xml:space="preserve">that expands traditional hierarchical complexity to provide a comparative basis for distinct strategies for power. In the network mode, inequality develops when individuals accumulate wealth through individual networks and use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 Applying the corporate/network model may give insight into the underlying pathways that led to social inequality in northeastern Taiwan. In the circumscribed environments of the Yilan Plain, the corporate/network continuum will provide a comparative basis to explore the impact of European contact on changes in the degree of indigenous social inequality. One insight emerging from this model is that the long-distance trade network introduced by the Europeans results in the appearance of a network mode due to the competitions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especially important case study as an East Asian location that was relatively isolated and peripheral, and yet connected by tea to regional and global trade networks. Kiwulan can provide valuable insights into the discussion of the influence of indirect colonial contacts. In northeast Taiwan foreign trade ornaments were viewed as prestige goods and played an important social role in divination and funeral rituals. As a marker for status, the frequency and spatial distribution of body ornaments at Kiwulan present three distinct patterns during different culture contact periods. The greater amount and diversity of ornament types during the European contact period reflects international exchange in a colonial context. Those ornaments may carry an exotic and powerful image that signals wealth and trading connections to the inhabitants of Kiwulan. These symbolic values may have stimulated more competitions between aggrandizing individuals for prestige and wealth accumulation at Kiwulan, which might result in an increase in social inequality.</w:t>
      </w:r>
    </w:p>
    <w:p>
      <w:pPr>
        <w:pStyle w:val="BodyText"/>
      </w:pPr>
      <w:r>
        <w:t xml:space="preserve">This study demonstrates that foreign ornaments could be a proxy to detect the indirect colonial influence on local indigenous populations. Ornaments can give insights into the amplification of social inequality stimulated by the European colonization. It also shows the agency of indigenous people to incorporate and recontextualize the ornaments into their culture system. During the Chinese contact period, the decreasing frequency and diversity of ornaments showing a decline in the production, use and discard of ornaments at Kiwulan, which might be related to the smaller scale of exchange network with limited sources of ornaments or the overall decline of Kiwulan population. Future work could extend this approach to studies of other trade goods such as ceramics. Future directions for understanding the dynamics of social inequality at Kiwulan could include analysis of pottery production and standardization, and mortuary practices.</w:t>
      </w:r>
    </w:p>
    <w:p>
      <w:pPr>
        <w:pStyle w:val="Heading1"/>
      </w:pPr>
      <w:bookmarkStart w:id="40" w:name="acknowledgements"/>
      <w:r>
        <w:t xml:space="preserve">Acknowledgements</w:t>
      </w:r>
      <w:bookmarkEnd w:id="40"/>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5"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hiu2004"/>
    <w:p>
      <w:pPr>
        <w:pStyle w:val="BodyText"/>
      </w:pPr>
      <w:r>
        <w:t xml:space="preserve">Chiu, H.-L., 2004. Yilan xian jiao xi xiang qi wu lan yi zhi chu tu mu zang yan jiu ──mai zang hang wei yu wen hua bian qian de guan cha [investigations of mortuary behaviors and cultural change of the kivulan site in i-lan county]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Woodburn1982"/>
    <w:p>
      <w:pPr>
        <w:pStyle w:val="BodyText"/>
      </w:pPr>
      <w:r>
        <w:t xml:space="preserve">Woodburn, J., 1982. Egalitarian societies. Man 17, 431–451.</w:t>
      </w:r>
    </w:p>
    <w:bookmarkEnd w:id="103"/>
    <w:bookmarkStart w:id="104" w:name="ref-Yao1996"/>
    <w:p>
      <w:pPr>
        <w:pStyle w:val="BodyText"/>
      </w:pPr>
      <w:r>
        <w:t xml:space="preserve">Yao, ying, 1996. Dong cha ji lue [record of taiwan], taiwan wen xian cong kan di 007 zhong [taiwan literature series: 007]. Taiwan Historica, Nantou.</w:t>
      </w:r>
    </w:p>
    <w:bookmarkEnd w:id="104"/>
    <w:bookmarkEnd w:id="105"/>
    <w:p>
      <w:pPr>
        <w:pStyle w:val="Heading5"/>
      </w:pPr>
      <w:bookmarkStart w:id="106" w:name="pagebreak-1"/>
      <w:r>
        <w:t xml:space="preserve">pagebreak</w:t>
      </w:r>
      <w:bookmarkEnd w:id="106"/>
    </w:p>
    <w:p>
      <w:pPr>
        <w:pStyle w:val="Heading3"/>
      </w:pPr>
      <w:bookmarkStart w:id="107" w:name="colophon"/>
      <w:r>
        <w:t xml:space="preserve">Colophon</w:t>
      </w:r>
      <w:bookmarkEnd w:id="107"/>
    </w:p>
    <w:p>
      <w:pPr>
        <w:pStyle w:val="FirstParagraph"/>
      </w:pPr>
      <w:r>
        <w:t xml:space="preserve">This report was generated on 2019-08-09 15:03:10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2019-08-09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[1ddf49d] 2019-08-09: editting based on comments</w:t>
      </w:r>
    </w:p>
    <w:p>
      <w:pPr>
        <w:pStyle w:val="FirstParagraph"/>
      </w:pPr>
      <w:r>
        <w:t xml:space="preserve">Word count: 5142</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22" Target="media/rId22.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 Ben Marwick</dc:creator>
  <cp:keywords/>
  <dcterms:created xsi:type="dcterms:W3CDTF">2019-08-09T22:03:18Z</dcterms:created>
  <dcterms:modified xsi:type="dcterms:W3CDTF">2019-08-09T22:03:18Z</dcterms:modified>
</cp:coreProperties>
</file>